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DE" w:rsidRDefault="00B62BDE" w:rsidP="00F531C4">
      <w:pPr>
        <w:jc w:val="center"/>
        <w:rPr>
          <w:rFonts w:ascii="Times New Roman" w:hAnsi="Times New Roman"/>
          <w:b/>
          <w:sz w:val="24"/>
          <w:szCs w:val="24"/>
        </w:rPr>
      </w:pPr>
      <w:r w:rsidRPr="00F531C4">
        <w:rPr>
          <w:rFonts w:ascii="Times New Roman" w:hAnsi="Times New Roman"/>
          <w:b/>
          <w:sz w:val="24"/>
          <w:szCs w:val="24"/>
        </w:rPr>
        <w:t>Postman—</w:t>
      </w:r>
      <w:r>
        <w:rPr>
          <w:rFonts w:ascii="Times New Roman" w:hAnsi="Times New Roman"/>
          <w:b/>
          <w:sz w:val="24"/>
          <w:szCs w:val="24"/>
        </w:rPr>
        <w:t>“</w:t>
      </w:r>
      <w:r w:rsidRPr="00F531C4">
        <w:rPr>
          <w:rFonts w:ascii="Times New Roman" w:hAnsi="Times New Roman"/>
          <w:b/>
          <w:sz w:val="24"/>
          <w:szCs w:val="24"/>
        </w:rPr>
        <w:t>The World Weavers/The World Makers</w:t>
      </w:r>
      <w:r>
        <w:rPr>
          <w:rFonts w:ascii="Times New Roman" w:hAnsi="Times New Roman"/>
          <w:b/>
          <w:sz w:val="24"/>
          <w:szCs w:val="24"/>
        </w:rPr>
        <w:t>”</w:t>
      </w:r>
      <w:r>
        <w:rPr>
          <w:rFonts w:ascii="Times New Roman" w:hAnsi="Times New Roman"/>
          <w:b/>
          <w:sz w:val="24"/>
          <w:szCs w:val="24"/>
        </w:rPr>
        <w:br/>
        <w:t>Reading Notes</w:t>
      </w:r>
      <w:r>
        <w:rPr>
          <w:rFonts w:ascii="Times New Roman" w:hAnsi="Times New Roman"/>
          <w:b/>
          <w:sz w:val="24"/>
          <w:szCs w:val="24"/>
        </w:rPr>
        <w:br/>
        <w:t>Glen McClish</w:t>
      </w:r>
    </w:p>
    <w:p w:rsidR="00B62BDE" w:rsidRDefault="00B62BDE" w:rsidP="001469BD">
      <w:pPr>
        <w:spacing w:before="240" w:line="240" w:lineRule="auto"/>
        <w:rPr>
          <w:rFonts w:ascii="Times New Roman" w:hAnsi="Times New Roman"/>
          <w:sz w:val="24"/>
          <w:szCs w:val="24"/>
        </w:rPr>
      </w:pPr>
      <w:r>
        <w:rPr>
          <w:rFonts w:ascii="Times New Roman" w:hAnsi="Times New Roman"/>
          <w:sz w:val="24"/>
          <w:szCs w:val="24"/>
        </w:rPr>
        <w:t xml:space="preserve">Begin with intellectual context—Postman writes in the technological determinist tradition (for example, </w:t>
      </w:r>
      <w:r>
        <w:rPr>
          <w:rFonts w:ascii="Times New Roman" w:hAnsi="Times New Roman"/>
          <w:i/>
          <w:sz w:val="24"/>
          <w:szCs w:val="24"/>
        </w:rPr>
        <w:t xml:space="preserve">Amusing Ourselves to </w:t>
      </w:r>
      <w:r w:rsidRPr="00F531C4">
        <w:rPr>
          <w:rFonts w:ascii="Times New Roman" w:hAnsi="Times New Roman"/>
          <w:i/>
          <w:sz w:val="24"/>
          <w:szCs w:val="24"/>
        </w:rPr>
        <w:t>Death</w:t>
      </w:r>
      <w:r>
        <w:rPr>
          <w:rFonts w:ascii="Times New Roman" w:hAnsi="Times New Roman"/>
          <w:sz w:val="24"/>
          <w:szCs w:val="24"/>
        </w:rPr>
        <w:t xml:space="preserve">) that has been </w:t>
      </w:r>
      <w:r w:rsidRPr="00F531C4">
        <w:rPr>
          <w:rFonts w:ascii="Times New Roman" w:hAnsi="Times New Roman"/>
          <w:sz w:val="24"/>
          <w:szCs w:val="24"/>
        </w:rPr>
        <w:t>heavily</w:t>
      </w:r>
      <w:r>
        <w:rPr>
          <w:rFonts w:ascii="Times New Roman" w:hAnsi="Times New Roman"/>
          <w:sz w:val="24"/>
          <w:szCs w:val="24"/>
        </w:rPr>
        <w:t xml:space="preserve"> influenced by Marshall McLuhan (</w:t>
      </w:r>
      <w:r w:rsidRPr="00416400">
        <w:rPr>
          <w:rFonts w:ascii="Times New Roman" w:hAnsi="Times New Roman"/>
          <w:i/>
          <w:sz w:val="24"/>
          <w:szCs w:val="24"/>
        </w:rPr>
        <w:t>Understanding Media</w:t>
      </w:r>
      <w:r>
        <w:rPr>
          <w:rFonts w:ascii="Times New Roman" w:hAnsi="Times New Roman"/>
          <w:sz w:val="24"/>
          <w:szCs w:val="24"/>
        </w:rPr>
        <w:t>), although the best work has been done by people like Walter Ong (</w:t>
      </w:r>
      <w:r>
        <w:rPr>
          <w:rFonts w:ascii="Times New Roman" w:hAnsi="Times New Roman"/>
          <w:i/>
          <w:sz w:val="24"/>
          <w:szCs w:val="24"/>
        </w:rPr>
        <w:t>Orality and Literacy</w:t>
      </w:r>
      <w:r>
        <w:rPr>
          <w:rFonts w:ascii="Times New Roman" w:hAnsi="Times New Roman"/>
          <w:sz w:val="24"/>
          <w:szCs w:val="24"/>
        </w:rPr>
        <w:t>).</w:t>
      </w:r>
    </w:p>
    <w:p w:rsidR="00B62BDE" w:rsidRDefault="00B62BDE" w:rsidP="001F653C">
      <w:pPr>
        <w:spacing w:line="240" w:lineRule="auto"/>
        <w:rPr>
          <w:rFonts w:ascii="Times New Roman" w:hAnsi="Times New Roman"/>
          <w:sz w:val="24"/>
          <w:szCs w:val="24"/>
        </w:rPr>
      </w:pPr>
      <w:r>
        <w:rPr>
          <w:rFonts w:ascii="Times New Roman" w:hAnsi="Times New Roman"/>
          <w:sz w:val="24"/>
          <w:szCs w:val="24"/>
        </w:rPr>
        <w:t>He’s reacting to and trying to differentiate himself from previous conservative critiques of the educational system by E.D. Hirsch (</w:t>
      </w:r>
      <w:r>
        <w:rPr>
          <w:rFonts w:ascii="Times New Roman" w:hAnsi="Times New Roman"/>
          <w:i/>
          <w:sz w:val="24"/>
          <w:szCs w:val="24"/>
        </w:rPr>
        <w:t xml:space="preserve">Cultural </w:t>
      </w:r>
      <w:r w:rsidRPr="001F653C">
        <w:rPr>
          <w:rFonts w:ascii="Times New Roman" w:hAnsi="Times New Roman"/>
          <w:i/>
          <w:sz w:val="24"/>
          <w:szCs w:val="24"/>
        </w:rPr>
        <w:t>Literacy</w:t>
      </w:r>
      <w:r>
        <w:rPr>
          <w:rFonts w:ascii="Times New Roman" w:hAnsi="Times New Roman"/>
          <w:sz w:val="24"/>
          <w:szCs w:val="24"/>
        </w:rPr>
        <w:t xml:space="preserve">) </w:t>
      </w:r>
      <w:r w:rsidRPr="001F653C">
        <w:rPr>
          <w:rFonts w:ascii="Times New Roman" w:hAnsi="Times New Roman"/>
          <w:sz w:val="24"/>
          <w:szCs w:val="24"/>
        </w:rPr>
        <w:t>and</w:t>
      </w:r>
      <w:r>
        <w:rPr>
          <w:rFonts w:ascii="Times New Roman" w:hAnsi="Times New Roman"/>
          <w:sz w:val="24"/>
          <w:szCs w:val="24"/>
        </w:rPr>
        <w:t xml:space="preserve"> Allan Bloom (</w:t>
      </w:r>
      <w:r>
        <w:rPr>
          <w:rFonts w:ascii="Times New Roman" w:hAnsi="Times New Roman"/>
          <w:i/>
          <w:sz w:val="24"/>
          <w:szCs w:val="24"/>
        </w:rPr>
        <w:t>The Closing of the American Mind</w:t>
      </w:r>
      <w:r>
        <w:rPr>
          <w:rFonts w:ascii="Times New Roman" w:hAnsi="Times New Roman"/>
          <w:sz w:val="24"/>
          <w:szCs w:val="24"/>
        </w:rPr>
        <w:t>) that called for more traditional forms of education.  Hirsch advocated for cultural literacy in the form of lots of facts and information.</w:t>
      </w:r>
    </w:p>
    <w:p w:rsidR="00B62BDE" w:rsidRDefault="00B62BDE" w:rsidP="00F531C4">
      <w:pPr>
        <w:spacing w:line="240" w:lineRule="auto"/>
        <w:rPr>
          <w:rFonts w:ascii="Times New Roman" w:hAnsi="Times New Roman"/>
          <w:sz w:val="24"/>
          <w:szCs w:val="24"/>
        </w:rPr>
      </w:pPr>
    </w:p>
    <w:p w:rsidR="00B62BDE" w:rsidRDefault="00B62BDE" w:rsidP="00F531C4">
      <w:pPr>
        <w:spacing w:line="240" w:lineRule="auto"/>
        <w:rPr>
          <w:rFonts w:ascii="Times New Roman" w:hAnsi="Times New Roman"/>
          <w:sz w:val="24"/>
          <w:szCs w:val="24"/>
        </w:rPr>
      </w:pPr>
      <w:r w:rsidRPr="00EB00A5">
        <w:rPr>
          <w:rFonts w:ascii="Times New Roman" w:hAnsi="Times New Roman"/>
          <w:sz w:val="24"/>
          <w:szCs w:val="24"/>
          <w:u w:val="single"/>
        </w:rPr>
        <w:t>Principal claim</w:t>
      </w:r>
      <w:r>
        <w:rPr>
          <w:rFonts w:ascii="Times New Roman" w:hAnsi="Times New Roman"/>
          <w:sz w:val="24"/>
          <w:szCs w:val="24"/>
        </w:rPr>
        <w:t>:  Definitions, questions, and metaphors should be given the highest priority in school (135). Note key word “urging” here.</w:t>
      </w:r>
    </w:p>
    <w:p w:rsidR="00B62BDE" w:rsidRDefault="00B62BDE" w:rsidP="00F531C4">
      <w:pPr>
        <w:spacing w:line="240" w:lineRule="auto"/>
        <w:rPr>
          <w:rFonts w:ascii="Times New Roman" w:hAnsi="Times New Roman"/>
          <w:sz w:val="24"/>
          <w:szCs w:val="24"/>
        </w:rPr>
      </w:pPr>
    </w:p>
    <w:p w:rsidR="00B62BDE" w:rsidRDefault="00B62BDE" w:rsidP="00F531C4">
      <w:pPr>
        <w:spacing w:line="240" w:lineRule="auto"/>
        <w:rPr>
          <w:rFonts w:ascii="Times New Roman" w:hAnsi="Times New Roman"/>
          <w:sz w:val="24"/>
          <w:szCs w:val="24"/>
        </w:rPr>
      </w:pPr>
      <w:r w:rsidRPr="00EB00A5">
        <w:rPr>
          <w:rFonts w:ascii="Times New Roman" w:hAnsi="Times New Roman"/>
          <w:sz w:val="24"/>
          <w:szCs w:val="24"/>
          <w:u w:val="single"/>
        </w:rPr>
        <w:t>Reason</w:t>
      </w:r>
      <w:r>
        <w:rPr>
          <w:rFonts w:ascii="Times New Roman" w:hAnsi="Times New Roman"/>
          <w:sz w:val="24"/>
          <w:szCs w:val="24"/>
        </w:rPr>
        <w:t>:  Definitions, questions, and metaphors are three of the most potent elements with which human language constructs a worldview (135).</w:t>
      </w:r>
    </w:p>
    <w:p w:rsidR="00B62BDE" w:rsidRDefault="00B62BDE" w:rsidP="00F531C4">
      <w:pPr>
        <w:spacing w:line="240" w:lineRule="auto"/>
        <w:rPr>
          <w:rFonts w:ascii="Times New Roman" w:hAnsi="Times New Roman"/>
          <w:sz w:val="24"/>
          <w:szCs w:val="24"/>
        </w:rPr>
      </w:pPr>
    </w:p>
    <w:p w:rsidR="00B62BDE" w:rsidRDefault="00B62BDE" w:rsidP="00F531C4">
      <w:pPr>
        <w:spacing w:line="240" w:lineRule="auto"/>
        <w:rPr>
          <w:rFonts w:ascii="Times New Roman" w:hAnsi="Times New Roman"/>
          <w:sz w:val="24"/>
          <w:szCs w:val="24"/>
        </w:rPr>
      </w:pPr>
      <w:r w:rsidRPr="00EB00A5">
        <w:rPr>
          <w:rFonts w:ascii="Times New Roman" w:hAnsi="Times New Roman"/>
          <w:sz w:val="24"/>
          <w:szCs w:val="24"/>
          <w:u w:val="single"/>
        </w:rPr>
        <w:t>Warrant</w:t>
      </w:r>
      <w:r>
        <w:rPr>
          <w:rFonts w:ascii="Times New Roman" w:hAnsi="Times New Roman"/>
          <w:sz w:val="24"/>
          <w:szCs w:val="24"/>
        </w:rPr>
        <w:t>:  Teaching how worldviews are constructed through language should be the school’s highest priority (135).</w:t>
      </w:r>
    </w:p>
    <w:p w:rsidR="00B62BDE" w:rsidRDefault="00B62BDE" w:rsidP="00F531C4">
      <w:pPr>
        <w:spacing w:line="240" w:lineRule="auto"/>
        <w:rPr>
          <w:rFonts w:ascii="Times New Roman" w:hAnsi="Times New Roman"/>
          <w:sz w:val="24"/>
          <w:szCs w:val="24"/>
        </w:rPr>
      </w:pPr>
    </w:p>
    <w:p w:rsidR="00B62BDE" w:rsidRDefault="00B62BDE" w:rsidP="00F531C4">
      <w:pPr>
        <w:spacing w:line="240" w:lineRule="auto"/>
        <w:rPr>
          <w:rFonts w:ascii="Times New Roman" w:hAnsi="Times New Roman"/>
          <w:sz w:val="24"/>
          <w:szCs w:val="24"/>
        </w:rPr>
      </w:pPr>
      <w:r w:rsidRPr="00EB00A5">
        <w:rPr>
          <w:rFonts w:ascii="Times New Roman" w:hAnsi="Times New Roman"/>
          <w:sz w:val="24"/>
          <w:szCs w:val="24"/>
          <w:u w:val="single"/>
        </w:rPr>
        <w:t>Backing</w:t>
      </w:r>
      <w:r>
        <w:rPr>
          <w:rFonts w:ascii="Times New Roman" w:hAnsi="Times New Roman"/>
          <w:sz w:val="24"/>
          <w:szCs w:val="24"/>
        </w:rPr>
        <w:t xml:space="preserve">:  The linguistic turn of the early twentieth century.  Rhetoricians would claim that the rhetorical turn of the second half of the twentieth century is perhaps even more important and gets to these issues more effectively; this might be good ground for advanced discussion about how this entire argument could be used to back the way we teaching RWS courses.    </w:t>
      </w:r>
    </w:p>
    <w:p w:rsidR="00B62BDE" w:rsidRPr="00F531C4" w:rsidRDefault="00B62BDE" w:rsidP="00F531C4">
      <w:pPr>
        <w:spacing w:line="240" w:lineRule="auto"/>
        <w:rPr>
          <w:rFonts w:ascii="Times New Roman" w:hAnsi="Times New Roman"/>
          <w:sz w:val="24"/>
          <w:szCs w:val="24"/>
        </w:rPr>
      </w:pPr>
    </w:p>
    <w:p w:rsidR="00B62BDE" w:rsidRDefault="00B62BDE" w:rsidP="00EB00A5">
      <w:pPr>
        <w:spacing w:line="240" w:lineRule="auto"/>
        <w:rPr>
          <w:rFonts w:ascii="Times New Roman" w:hAnsi="Times New Roman"/>
          <w:sz w:val="24"/>
          <w:szCs w:val="24"/>
        </w:rPr>
      </w:pPr>
      <w:r w:rsidRPr="00EB00A5">
        <w:rPr>
          <w:rFonts w:ascii="Times New Roman" w:hAnsi="Times New Roman"/>
          <w:sz w:val="24"/>
          <w:szCs w:val="24"/>
          <w:u w:val="single"/>
        </w:rPr>
        <w:t>Initial ethos</w:t>
      </w:r>
      <w:r>
        <w:rPr>
          <w:rFonts w:ascii="Times New Roman" w:hAnsi="Times New Roman"/>
          <w:sz w:val="24"/>
          <w:szCs w:val="24"/>
        </w:rPr>
        <w:t>:  A kind of grumpy sage, authoritative without citation, brusque and confident, not out to ingratiate himself with the audience, seems to start almost in the middle of an argument with no formal introduction, but there’s a bit of play or improvisation—“How shall I say it?” (133).</w:t>
      </w:r>
      <w:r>
        <w:rPr>
          <w:rFonts w:ascii="Times New Roman" w:hAnsi="Times New Roman"/>
          <w:sz w:val="24"/>
          <w:szCs w:val="24"/>
        </w:rPr>
        <w:br/>
        <w:t>Comment about absurdity is kind of cranky (134).</w:t>
      </w:r>
    </w:p>
    <w:p w:rsidR="00B62BDE" w:rsidRDefault="00B62BDE" w:rsidP="00EB00A5">
      <w:pPr>
        <w:spacing w:line="240" w:lineRule="auto"/>
        <w:rPr>
          <w:rFonts w:ascii="Times New Roman" w:hAnsi="Times New Roman"/>
          <w:sz w:val="24"/>
          <w:szCs w:val="24"/>
        </w:rPr>
      </w:pPr>
    </w:p>
    <w:p w:rsidR="00B62BDE" w:rsidRDefault="00B62BDE" w:rsidP="00EB00A5">
      <w:pPr>
        <w:spacing w:line="240" w:lineRule="auto"/>
        <w:rPr>
          <w:rFonts w:ascii="Times New Roman" w:hAnsi="Times New Roman"/>
          <w:sz w:val="24"/>
          <w:szCs w:val="24"/>
        </w:rPr>
      </w:pPr>
      <w:r>
        <w:rPr>
          <w:rFonts w:ascii="Times New Roman" w:hAnsi="Times New Roman"/>
          <w:sz w:val="24"/>
          <w:szCs w:val="24"/>
        </w:rPr>
        <w:t>No real contract or introduction in Swales’s terms; he just starts with the three elements of the claim.</w:t>
      </w:r>
    </w:p>
    <w:p w:rsidR="00B62BDE" w:rsidRDefault="00B62BDE" w:rsidP="00EB00A5">
      <w:pPr>
        <w:spacing w:line="240" w:lineRule="auto"/>
        <w:rPr>
          <w:rFonts w:ascii="Times New Roman" w:hAnsi="Times New Roman"/>
          <w:sz w:val="24"/>
          <w:szCs w:val="24"/>
        </w:rPr>
      </w:pPr>
    </w:p>
    <w:p w:rsidR="00B62BDE" w:rsidRDefault="00B62BDE" w:rsidP="00EB00A5">
      <w:pPr>
        <w:spacing w:line="240" w:lineRule="auto"/>
        <w:rPr>
          <w:rFonts w:ascii="Times New Roman" w:hAnsi="Times New Roman"/>
          <w:sz w:val="24"/>
          <w:szCs w:val="24"/>
        </w:rPr>
      </w:pPr>
      <w:r>
        <w:rPr>
          <w:rFonts w:ascii="Times New Roman" w:hAnsi="Times New Roman"/>
          <w:sz w:val="24"/>
          <w:szCs w:val="24"/>
        </w:rPr>
        <w:t>Definition discussion comes first—he means this to be linguistic although we could read this as rhetorical—a terministic screen issue, perhaps (133).</w:t>
      </w:r>
    </w:p>
    <w:p w:rsidR="00B62BDE" w:rsidRDefault="00B62BDE" w:rsidP="00EB00A5">
      <w:pPr>
        <w:spacing w:line="240" w:lineRule="auto"/>
        <w:rPr>
          <w:rFonts w:ascii="Times New Roman" w:hAnsi="Times New Roman"/>
          <w:sz w:val="24"/>
          <w:szCs w:val="24"/>
        </w:rPr>
      </w:pPr>
    </w:p>
    <w:p w:rsidR="00B62BDE" w:rsidRPr="00EB00A5" w:rsidRDefault="00B62BDE" w:rsidP="00EB00A5">
      <w:pPr>
        <w:spacing w:line="240" w:lineRule="auto"/>
        <w:rPr>
          <w:rFonts w:ascii="Times New Roman" w:hAnsi="Times New Roman"/>
          <w:sz w:val="24"/>
          <w:szCs w:val="24"/>
        </w:rPr>
      </w:pPr>
      <w:r>
        <w:rPr>
          <w:rFonts w:ascii="Times New Roman" w:hAnsi="Times New Roman"/>
          <w:sz w:val="24"/>
          <w:szCs w:val="24"/>
        </w:rPr>
        <w:t>Then he goes to the issue of questions (133).</w:t>
      </w:r>
    </w:p>
    <w:p w:rsidR="00B62BDE" w:rsidRDefault="00B62BDE">
      <w:pPr>
        <w:rPr>
          <w:rFonts w:ascii="Times New Roman" w:hAnsi="Times New Roman"/>
          <w:sz w:val="24"/>
          <w:szCs w:val="24"/>
        </w:rPr>
      </w:pPr>
      <w:r>
        <w:rPr>
          <w:rFonts w:ascii="Times New Roman" w:hAnsi="Times New Roman"/>
          <w:sz w:val="24"/>
          <w:szCs w:val="24"/>
        </w:rPr>
        <w:t>Takes on Hirsch and Bloom here, establishing niche and distance from these conservatives (134).</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Next is the issue of metaphor—once again rhetoricians eagerly claim this ground (134).</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His discussion really owes a lot to Lakoff and Johnson (</w:t>
      </w:r>
      <w:r>
        <w:rPr>
          <w:rFonts w:ascii="Times New Roman" w:hAnsi="Times New Roman"/>
          <w:i/>
          <w:sz w:val="24"/>
          <w:szCs w:val="24"/>
        </w:rPr>
        <w:t>Metaphors We Live By</w:t>
      </w:r>
      <w:r>
        <w:rPr>
          <w:rFonts w:ascii="Times New Roman" w:hAnsi="Times New Roman"/>
          <w:sz w:val="24"/>
          <w:szCs w:val="24"/>
        </w:rPr>
        <w:t>), he should be quoting them.</w:t>
      </w:r>
    </w:p>
    <w:p w:rsidR="00B62BDE" w:rsidRDefault="00B62BDE" w:rsidP="0005550A">
      <w:pPr>
        <w:spacing w:line="240" w:lineRule="auto"/>
        <w:rPr>
          <w:rFonts w:ascii="Times New Roman" w:hAnsi="Times New Roman"/>
          <w:sz w:val="24"/>
          <w:szCs w:val="24"/>
        </w:rPr>
      </w:pPr>
    </w:p>
    <w:p w:rsidR="00B62BDE" w:rsidRDefault="00B62BDE" w:rsidP="0005550A">
      <w:pPr>
        <w:spacing w:line="240" w:lineRule="auto"/>
        <w:rPr>
          <w:rFonts w:ascii="Times New Roman" w:hAnsi="Times New Roman"/>
          <w:sz w:val="24"/>
          <w:szCs w:val="24"/>
        </w:rPr>
      </w:pPr>
      <w:r>
        <w:rPr>
          <w:rFonts w:ascii="Times New Roman" w:hAnsi="Times New Roman"/>
          <w:sz w:val="24"/>
          <w:szCs w:val="24"/>
        </w:rPr>
        <w:t xml:space="preserve">Harkens back to golden age—a favorite </w:t>
      </w:r>
      <w:r w:rsidRPr="00416400">
        <w:rPr>
          <w:rFonts w:ascii="Times New Roman" w:hAnsi="Times New Roman"/>
          <w:i/>
          <w:sz w:val="24"/>
          <w:szCs w:val="24"/>
        </w:rPr>
        <w:t>topos</w:t>
      </w:r>
      <w:r>
        <w:rPr>
          <w:rFonts w:ascii="Times New Roman" w:hAnsi="Times New Roman"/>
          <w:sz w:val="24"/>
          <w:szCs w:val="24"/>
        </w:rPr>
        <w:t xml:space="preserve"> of Postman, which kind of fits with sage ethos (135).</w:t>
      </w:r>
      <w:r>
        <w:rPr>
          <w:rFonts w:ascii="Times New Roman" w:hAnsi="Times New Roman"/>
          <w:sz w:val="24"/>
          <w:szCs w:val="24"/>
        </w:rPr>
        <w:br/>
        <w:t>Nice discussion of analogies (135).</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Then comes the claim and reason (135).</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Examples of reason based on power of metaphors to shape thought about medicine and justice (135-36).</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Reason discussed further, with heavy debt to Lakoff and Johnson—“the structure of reality” (136).</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With the introduction of the term “control,” we have a kind of subsidiary reason to bolster our primary claim:</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Primary claim and sub reason:  Definitions, questions, and metaphors should be given the highest priority in school because they provide students control of their situation (136).</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Warrant:  “It needs hardly to be said that one of the purposes of an education is to give us greater control of our situation” (136). (nice occultatio)  Then this sub argument is kind of dropped; this segment really needs more fleshing out, since it’s instrumental in provocative ways.</w:t>
      </w:r>
    </w:p>
    <w:p w:rsidR="00B62BDE" w:rsidRDefault="00B62BDE" w:rsidP="0005550A">
      <w:pPr>
        <w:spacing w:line="240" w:lineRule="auto"/>
        <w:rPr>
          <w:rFonts w:ascii="Times New Roman" w:hAnsi="Times New Roman"/>
          <w:sz w:val="24"/>
          <w:szCs w:val="24"/>
        </w:rPr>
      </w:pPr>
    </w:p>
    <w:p w:rsidR="00B62BDE" w:rsidRDefault="00B62BDE" w:rsidP="0005550A">
      <w:pPr>
        <w:spacing w:line="240" w:lineRule="auto"/>
        <w:rPr>
          <w:rFonts w:ascii="Times New Roman" w:hAnsi="Times New Roman"/>
          <w:sz w:val="24"/>
          <w:szCs w:val="24"/>
        </w:rPr>
      </w:pPr>
      <w:r>
        <w:rPr>
          <w:rFonts w:ascii="Times New Roman" w:hAnsi="Times New Roman"/>
          <w:sz w:val="24"/>
          <w:szCs w:val="24"/>
        </w:rPr>
        <w:t>Discussion of how schools use approaches that undermine Postman’s approach, with IQ test as example (136).</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Discussion of opposition, which he tries to undermine (137).</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Falls back on importance of early linguistics, thus demonstrating the linguistic turn as motivating and backing his argument—this is old stuff and again where’s Lakoff ?(137).</w:t>
      </w:r>
      <w:r>
        <w:rPr>
          <w:rFonts w:ascii="Times New Roman" w:hAnsi="Times New Roman"/>
          <w:sz w:val="24"/>
          <w:szCs w:val="24"/>
        </w:rPr>
        <w:br/>
        <w:t>Authoritative quotation from Richards (137).</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Goes to additional discussion of importance of definition, using word instrumental that really lets rhetoric in for us (138).</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Long example about jokes lightens ethos considerably and seems to be a change in tone (138-39).</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Then shifts back to metaphor discussion (139).</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Helen Keller thing is pretty arbitrary—perhaps excusable from a sage who has the right to be disjointed (139).</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Then he moves into a discussion about how to operationalize the main claim—this very rhetorical in some ways (139-40).</w:t>
      </w:r>
      <w:r>
        <w:rPr>
          <w:rFonts w:ascii="Times New Roman" w:hAnsi="Times New Roman"/>
          <w:sz w:val="24"/>
          <w:szCs w:val="24"/>
        </w:rPr>
        <w:br/>
        <w:t>This discussion of style and tone he actually evokes rhetoric and makes the case for the art quite broad (140-41).</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Then Postman launches a kind of add-on, loosely related argument about technological literacy (141):</w:t>
      </w:r>
    </w:p>
    <w:p w:rsidR="00B62BDE" w:rsidRDefault="00B62BDE" w:rsidP="0005550A">
      <w:pPr>
        <w:spacing w:line="240" w:lineRule="auto"/>
        <w:rPr>
          <w:rFonts w:ascii="Times New Roman" w:hAnsi="Times New Roman"/>
          <w:sz w:val="24"/>
          <w:szCs w:val="24"/>
        </w:rPr>
      </w:pPr>
    </w:p>
    <w:p w:rsidR="00B62BDE" w:rsidRDefault="00B62BDE" w:rsidP="0005550A">
      <w:pPr>
        <w:spacing w:line="240" w:lineRule="auto"/>
        <w:rPr>
          <w:rFonts w:ascii="Times New Roman" w:hAnsi="Times New Roman"/>
          <w:sz w:val="24"/>
          <w:szCs w:val="24"/>
        </w:rPr>
      </w:pPr>
      <w:r w:rsidRPr="0071788B">
        <w:rPr>
          <w:rFonts w:ascii="Times New Roman" w:hAnsi="Times New Roman"/>
          <w:sz w:val="24"/>
          <w:szCs w:val="24"/>
          <w:u w:val="single"/>
        </w:rPr>
        <w:t>Claim</w:t>
      </w:r>
      <w:r>
        <w:rPr>
          <w:rFonts w:ascii="Times New Roman" w:hAnsi="Times New Roman"/>
          <w:sz w:val="24"/>
          <w:szCs w:val="24"/>
        </w:rPr>
        <w:t>:  The effects of technology—rather than how to use it—should comprise technological education (part of the humanities) (142-43).</w:t>
      </w:r>
    </w:p>
    <w:p w:rsidR="00B62BDE" w:rsidRDefault="00B62BDE" w:rsidP="0005550A">
      <w:pPr>
        <w:spacing w:line="240" w:lineRule="auto"/>
        <w:rPr>
          <w:rFonts w:ascii="Times New Roman" w:hAnsi="Times New Roman"/>
          <w:sz w:val="24"/>
          <w:szCs w:val="24"/>
        </w:rPr>
      </w:pPr>
    </w:p>
    <w:p w:rsidR="00B62BDE" w:rsidRDefault="00B62BDE" w:rsidP="0071788B">
      <w:pPr>
        <w:spacing w:line="240" w:lineRule="auto"/>
        <w:rPr>
          <w:rFonts w:ascii="Times New Roman" w:hAnsi="Times New Roman"/>
          <w:sz w:val="24"/>
          <w:szCs w:val="24"/>
        </w:rPr>
      </w:pPr>
      <w:r>
        <w:rPr>
          <w:rFonts w:ascii="Times New Roman" w:hAnsi="Times New Roman"/>
          <w:sz w:val="24"/>
          <w:szCs w:val="24"/>
          <w:u w:val="single"/>
        </w:rPr>
        <w:t>Reason</w:t>
      </w:r>
      <w:r>
        <w:rPr>
          <w:rFonts w:ascii="Times New Roman" w:hAnsi="Times New Roman"/>
          <w:sz w:val="24"/>
          <w:szCs w:val="24"/>
        </w:rPr>
        <w:t>:  The effects of technology</w:t>
      </w:r>
      <w:r w:rsidRPr="0071788B">
        <w:rPr>
          <w:rFonts w:ascii="Times New Roman" w:hAnsi="Times New Roman"/>
          <w:sz w:val="24"/>
          <w:szCs w:val="24"/>
        </w:rPr>
        <w:t xml:space="preserve"> </w:t>
      </w:r>
      <w:r>
        <w:rPr>
          <w:rFonts w:ascii="Times New Roman" w:hAnsi="Times New Roman"/>
          <w:sz w:val="24"/>
          <w:szCs w:val="24"/>
        </w:rPr>
        <w:t>shape and control much of our culture (have “remade the world”) 142.</w:t>
      </w:r>
    </w:p>
    <w:p w:rsidR="00B62BDE" w:rsidRDefault="00B62BDE" w:rsidP="0071788B">
      <w:pPr>
        <w:spacing w:line="240" w:lineRule="auto"/>
        <w:rPr>
          <w:rFonts w:ascii="Times New Roman" w:hAnsi="Times New Roman"/>
          <w:sz w:val="24"/>
          <w:szCs w:val="24"/>
        </w:rPr>
      </w:pPr>
      <w:r>
        <w:rPr>
          <w:rFonts w:ascii="Times New Roman" w:hAnsi="Times New Roman"/>
          <w:sz w:val="24"/>
          <w:szCs w:val="24"/>
        </w:rPr>
        <w:t>The reason is supported by subfield of technological determinism—the best of which is Ong, rather than McLuhan (“The medium is the message”) (141-42).</w:t>
      </w:r>
    </w:p>
    <w:p w:rsidR="00B62BDE" w:rsidRPr="00476CE7" w:rsidRDefault="00B62BDE" w:rsidP="0071788B">
      <w:pPr>
        <w:spacing w:line="240" w:lineRule="auto"/>
        <w:rPr>
          <w:rFonts w:ascii="Times New Roman" w:hAnsi="Times New Roman"/>
          <w:sz w:val="24"/>
          <w:szCs w:val="24"/>
        </w:rPr>
      </w:pPr>
    </w:p>
    <w:p w:rsidR="00B62BDE" w:rsidRDefault="00B62BDE" w:rsidP="0005550A">
      <w:pPr>
        <w:spacing w:line="240" w:lineRule="auto"/>
        <w:rPr>
          <w:rFonts w:ascii="Times New Roman" w:hAnsi="Times New Roman"/>
          <w:sz w:val="24"/>
          <w:szCs w:val="24"/>
        </w:rPr>
      </w:pPr>
      <w:r w:rsidRPr="0071788B">
        <w:rPr>
          <w:rFonts w:ascii="Times New Roman" w:hAnsi="Times New Roman"/>
          <w:sz w:val="24"/>
          <w:szCs w:val="24"/>
          <w:u w:val="single"/>
        </w:rPr>
        <w:t>Warrant</w:t>
      </w:r>
      <w:r>
        <w:rPr>
          <w:rFonts w:ascii="Times New Roman" w:hAnsi="Times New Roman"/>
          <w:sz w:val="24"/>
          <w:szCs w:val="24"/>
        </w:rPr>
        <w:t>:  essential/incidental philosophical pair (implied, perhaps)—effects are essential, the user manual is incidental</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In addition, there’s a warrant about the importance of stressing what shapes our culture and our worldviews in education</w:t>
      </w:r>
    </w:p>
    <w:p w:rsidR="00B62BDE" w:rsidRDefault="00B62BDE" w:rsidP="0005550A">
      <w:pPr>
        <w:spacing w:line="240" w:lineRule="auto"/>
        <w:rPr>
          <w:rFonts w:ascii="Times New Roman" w:hAnsi="Times New Roman"/>
          <w:sz w:val="24"/>
          <w:szCs w:val="24"/>
        </w:rPr>
      </w:pPr>
    </w:p>
    <w:p w:rsidR="00B62BDE" w:rsidRDefault="00B62BDE" w:rsidP="0005550A">
      <w:pPr>
        <w:spacing w:line="240" w:lineRule="auto"/>
        <w:rPr>
          <w:rFonts w:ascii="Times New Roman" w:hAnsi="Times New Roman"/>
          <w:sz w:val="24"/>
          <w:szCs w:val="24"/>
        </w:rPr>
      </w:pPr>
      <w:r>
        <w:rPr>
          <w:rFonts w:ascii="Times New Roman" w:hAnsi="Times New Roman"/>
          <w:sz w:val="24"/>
          <w:szCs w:val="24"/>
        </w:rPr>
        <w:t>Prolepsis (143)</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Interesting analogy (143),</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Postman then moves into what could be seen as Student Learning Outcomes for technological education, although they need to be moved past Hirsch-like nuggets of knowledge into things students can do (verbs), as his test questions demonstrate or at least suggest (143-44).</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This might be a good activity to do with students, incidentally.</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SLO’s 3 and 4 include a few links to first argument, but I wish the connections were stronger.</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 xml:space="preserve">Final sentence makes interesting claim about a positive outcome of technology education: show how world </w:t>
      </w:r>
      <w:r w:rsidRPr="008F5637">
        <w:rPr>
          <w:rFonts w:ascii="Times New Roman" w:hAnsi="Times New Roman"/>
          <w:i/>
          <w:sz w:val="24"/>
          <w:szCs w:val="24"/>
        </w:rPr>
        <w:t>should</w:t>
      </w:r>
      <w:r>
        <w:rPr>
          <w:rFonts w:ascii="Times New Roman" w:hAnsi="Times New Roman"/>
          <w:sz w:val="24"/>
          <w:szCs w:val="24"/>
        </w:rPr>
        <w:t xml:space="preserve"> be remade—put very deliberate agency into technological change (144).</w:t>
      </w:r>
    </w:p>
    <w:p w:rsidR="00B62BDE" w:rsidRDefault="00B62BDE" w:rsidP="0005550A">
      <w:pPr>
        <w:spacing w:line="240" w:lineRule="auto"/>
        <w:rPr>
          <w:rFonts w:ascii="Times New Roman" w:hAnsi="Times New Roman"/>
          <w:sz w:val="24"/>
          <w:szCs w:val="24"/>
        </w:rPr>
      </w:pPr>
      <w:r>
        <w:rPr>
          <w:rFonts w:ascii="Times New Roman" w:hAnsi="Times New Roman"/>
          <w:sz w:val="24"/>
          <w:szCs w:val="24"/>
        </w:rPr>
        <w:t>This point shows the connection between the two arguments is based on the reasons and warrants, which emphasize the importance of stressing elements of our lives that shape our worldviews and cultures.</w:t>
      </w:r>
    </w:p>
    <w:p w:rsidR="00B62BDE" w:rsidRDefault="00B62BDE" w:rsidP="0005550A">
      <w:pPr>
        <w:spacing w:line="240" w:lineRule="auto"/>
        <w:rPr>
          <w:rFonts w:ascii="Times New Roman" w:hAnsi="Times New Roman"/>
          <w:sz w:val="24"/>
          <w:szCs w:val="24"/>
        </w:rPr>
      </w:pPr>
    </w:p>
    <w:p w:rsidR="00B62BDE" w:rsidRDefault="00B62BDE" w:rsidP="0005550A">
      <w:pPr>
        <w:spacing w:line="240" w:lineRule="auto"/>
        <w:rPr>
          <w:rFonts w:ascii="Times New Roman" w:hAnsi="Times New Roman"/>
          <w:sz w:val="24"/>
          <w:szCs w:val="24"/>
        </w:rPr>
      </w:pPr>
    </w:p>
    <w:p w:rsidR="00B62BDE" w:rsidRDefault="00B62BDE"/>
    <w:sectPr w:rsidR="00B62BDE" w:rsidSect="00416400">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BDE" w:rsidRDefault="00B62BDE">
      <w:r>
        <w:separator/>
      </w:r>
    </w:p>
  </w:endnote>
  <w:endnote w:type="continuationSeparator" w:id="1">
    <w:p w:rsidR="00B62BDE" w:rsidRDefault="00B62B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BDE" w:rsidRDefault="00B62BDE">
      <w:r>
        <w:separator/>
      </w:r>
    </w:p>
  </w:footnote>
  <w:footnote w:type="continuationSeparator" w:id="1">
    <w:p w:rsidR="00B62BDE" w:rsidRDefault="00B6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DE" w:rsidRDefault="00B62BDE" w:rsidP="009E0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BDE" w:rsidRDefault="00B62BDE" w:rsidP="0041640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DE" w:rsidRDefault="00B62BDE" w:rsidP="009E0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62BDE" w:rsidRDefault="00B62BDE" w:rsidP="0041640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1C4"/>
    <w:rsid w:val="00014D1A"/>
    <w:rsid w:val="0005550A"/>
    <w:rsid w:val="000E34CA"/>
    <w:rsid w:val="00107AC0"/>
    <w:rsid w:val="001469BD"/>
    <w:rsid w:val="00152FA8"/>
    <w:rsid w:val="001622D0"/>
    <w:rsid w:val="00175525"/>
    <w:rsid w:val="001945B7"/>
    <w:rsid w:val="001F313A"/>
    <w:rsid w:val="001F653C"/>
    <w:rsid w:val="001F79CB"/>
    <w:rsid w:val="002401A6"/>
    <w:rsid w:val="00251498"/>
    <w:rsid w:val="00266AE3"/>
    <w:rsid w:val="00292430"/>
    <w:rsid w:val="002B1086"/>
    <w:rsid w:val="002C6BE8"/>
    <w:rsid w:val="002E338E"/>
    <w:rsid w:val="002E3F1C"/>
    <w:rsid w:val="00355AC5"/>
    <w:rsid w:val="00413FC1"/>
    <w:rsid w:val="00416400"/>
    <w:rsid w:val="00466EA6"/>
    <w:rsid w:val="00466EE3"/>
    <w:rsid w:val="00472D84"/>
    <w:rsid w:val="00476CE7"/>
    <w:rsid w:val="00500B1A"/>
    <w:rsid w:val="00584BEA"/>
    <w:rsid w:val="005E1597"/>
    <w:rsid w:val="005E7703"/>
    <w:rsid w:val="00645219"/>
    <w:rsid w:val="00714801"/>
    <w:rsid w:val="00714B41"/>
    <w:rsid w:val="0071788B"/>
    <w:rsid w:val="00787EBD"/>
    <w:rsid w:val="00797E4E"/>
    <w:rsid w:val="007C68E8"/>
    <w:rsid w:val="008B51F7"/>
    <w:rsid w:val="008F5637"/>
    <w:rsid w:val="00916C63"/>
    <w:rsid w:val="009732EF"/>
    <w:rsid w:val="009E005C"/>
    <w:rsid w:val="009F4D92"/>
    <w:rsid w:val="00A51F4D"/>
    <w:rsid w:val="00A87AE1"/>
    <w:rsid w:val="00B03F39"/>
    <w:rsid w:val="00B163A0"/>
    <w:rsid w:val="00B24C56"/>
    <w:rsid w:val="00B34E04"/>
    <w:rsid w:val="00B56CEC"/>
    <w:rsid w:val="00B62BDE"/>
    <w:rsid w:val="00CE69E3"/>
    <w:rsid w:val="00CE792A"/>
    <w:rsid w:val="00D832F7"/>
    <w:rsid w:val="00DC7A0C"/>
    <w:rsid w:val="00E45D0D"/>
    <w:rsid w:val="00E74457"/>
    <w:rsid w:val="00EB00A5"/>
    <w:rsid w:val="00EB38DA"/>
    <w:rsid w:val="00EB3B68"/>
    <w:rsid w:val="00F20144"/>
    <w:rsid w:val="00F21C8D"/>
    <w:rsid w:val="00F246C8"/>
    <w:rsid w:val="00F25ACF"/>
    <w:rsid w:val="00F531C4"/>
    <w:rsid w:val="00FC4D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EC"/>
    <w:pPr>
      <w:spacing w:line="480"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640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character" w:styleId="PageNumber">
    <w:name w:val="page number"/>
    <w:basedOn w:val="DefaultParagraphFont"/>
    <w:uiPriority w:val="99"/>
    <w:rsid w:val="0041640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890</Words>
  <Characters>5077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Postman—“The World Weavers/The World Makers”</dc:title>
  <dc:subject/>
  <dc:creator>Glen</dc:creator>
  <cp:keywords/>
  <dc:description/>
  <cp:lastModifiedBy>cal</cp:lastModifiedBy>
  <cp:revision>2</cp:revision>
  <cp:lastPrinted>2010-01-13T20:13:00Z</cp:lastPrinted>
  <dcterms:created xsi:type="dcterms:W3CDTF">2010-01-25T17:56:00Z</dcterms:created>
  <dcterms:modified xsi:type="dcterms:W3CDTF">2010-01-25T17:56:00Z</dcterms:modified>
</cp:coreProperties>
</file>